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kolonia, Wakacyjna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26.06.2017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r. do 28.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07.2017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Zesp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Szk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ół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nr 84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 ul.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Zwyci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44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Informacja o specjalnych potrzebach edukacyjnych uczestnika wypoczynku,                        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8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8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8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8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8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8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8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8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8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8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10791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8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ENIA WYCHOWAWCY WYPOCZYNKU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Regulamin Wakacyjnej 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Lato 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Zespole Szk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nr 84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ul.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Zwyci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44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26.06.2017 r. do 28.07.2017 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roboczy (5 dni,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uczestniczenia ucznia w WPE: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Uczestnik programu w WPE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dnia 9 czerwca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617 63 28</w:t>
      </w:r>
      <w:r>
        <w:rPr>
          <w:rFonts w:ascii="Times New Roman" w:hAnsi="Times New Roman"/>
          <w:sz w:val="24"/>
          <w:szCs w:val="24"/>
          <w:rtl w:val="0"/>
        </w:rPr>
        <w:t>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                   w WPE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programu do dnia 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prowadzone w WPE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u               </w:t>
      </w:r>
      <w:r>
        <w:rPr>
          <w:rFonts w:ascii="Times New Roman" w:hAnsi="Times New Roman"/>
          <w:sz w:val="24"/>
          <w:szCs w:val="24"/>
          <w:rtl w:val="0"/>
        </w:rPr>
        <w:t xml:space="preserve">            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